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CC4B7">
      <w:pPr>
        <w:pStyle w:val="3"/>
        <w:spacing w:beforeAutospacing="0" w:afterAutospacing="0"/>
        <w:jc w:val="both"/>
        <w:rPr>
          <w:rFonts w:ascii="仿宋_GB2312" w:hAnsi="Arial" w:eastAsia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仿宋_GB2312"/>
          <w:b/>
          <w:bCs/>
          <w:color w:val="333333"/>
          <w:sz w:val="28"/>
          <w:szCs w:val="28"/>
          <w:shd w:val="clear" w:color="auto" w:fill="FFFFFF"/>
        </w:rPr>
        <w:t>附件1：</w:t>
      </w:r>
    </w:p>
    <w:p w14:paraId="086FDC30">
      <w:pPr>
        <w:pStyle w:val="3"/>
        <w:spacing w:beforeAutospacing="0" w:afterAutospacing="0"/>
        <w:jc w:val="center"/>
        <w:rPr>
          <w:rFonts w:ascii="仿宋_GB2312" w:hAnsi="Arial" w:eastAsia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仿宋_GB2312"/>
          <w:b/>
          <w:bCs/>
          <w:color w:val="333333"/>
          <w:sz w:val="28"/>
          <w:szCs w:val="28"/>
          <w:shd w:val="clear" w:color="auto" w:fill="FFFFFF"/>
        </w:rPr>
        <w:t>医用窗帘、隔帘项目需求</w:t>
      </w:r>
    </w:p>
    <w:p w14:paraId="36D99CF1">
      <w:pPr>
        <w:pStyle w:val="3"/>
        <w:spacing w:beforeAutospacing="0" w:afterAutospacing="0"/>
        <w:jc w:val="both"/>
        <w:rPr>
          <w:rFonts w:ascii="仿宋_GB2312" w:hAnsi="Arial" w:eastAsia="仿宋_GB2312" w:cs="仿宋_GB2312"/>
          <w:color w:val="333333"/>
          <w:sz w:val="18"/>
          <w:szCs w:val="18"/>
          <w:shd w:val="clear" w:color="auto" w:fill="FFFFFF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41"/>
        <w:gridCol w:w="2075"/>
        <w:gridCol w:w="2075"/>
      </w:tblGrid>
      <w:tr w14:paraId="2B35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</w:trPr>
        <w:tc>
          <w:tcPr>
            <w:tcW w:w="1809" w:type="dxa"/>
          </w:tcPr>
          <w:p w14:paraId="2AF4571A">
            <w:pPr>
              <w:pStyle w:val="3"/>
              <w:spacing w:beforeAutospacing="0" w:afterAutospacing="0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名称</w:t>
            </w:r>
          </w:p>
        </w:tc>
        <w:tc>
          <w:tcPr>
            <w:tcW w:w="2341" w:type="dxa"/>
          </w:tcPr>
          <w:p w14:paraId="4734EA41">
            <w:pPr>
              <w:pStyle w:val="3"/>
              <w:spacing w:beforeAutospacing="0" w:afterAutospacing="0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单位</w:t>
            </w:r>
          </w:p>
        </w:tc>
        <w:tc>
          <w:tcPr>
            <w:tcW w:w="2075" w:type="dxa"/>
          </w:tcPr>
          <w:p w14:paraId="5C26B46E">
            <w:pPr>
              <w:pStyle w:val="3"/>
              <w:spacing w:beforeAutospacing="0" w:afterAutospacing="0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高</w:t>
            </w:r>
          </w:p>
        </w:tc>
        <w:tc>
          <w:tcPr>
            <w:tcW w:w="2075" w:type="dxa"/>
          </w:tcPr>
          <w:p w14:paraId="20D67C01">
            <w:pPr>
              <w:pStyle w:val="3"/>
              <w:spacing w:beforeAutospacing="0" w:afterAutospacing="0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数量</w:t>
            </w:r>
          </w:p>
        </w:tc>
      </w:tr>
      <w:tr w14:paraId="2DB3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809" w:type="dxa"/>
          </w:tcPr>
          <w:p w14:paraId="28B9FD76">
            <w:pPr>
              <w:pStyle w:val="3"/>
              <w:spacing w:beforeAutospacing="0" w:afterAutospacing="0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医用</w:t>
            </w:r>
            <w:r>
              <w:rPr>
                <w:bCs/>
                <w:kern w:val="2"/>
                <w:sz w:val="21"/>
                <w:szCs w:val="21"/>
              </w:rPr>
              <w:t>窗帘</w:t>
            </w:r>
          </w:p>
        </w:tc>
        <w:tc>
          <w:tcPr>
            <w:tcW w:w="2341" w:type="dxa"/>
          </w:tcPr>
          <w:p w14:paraId="6CF75146">
            <w:pPr>
              <w:pStyle w:val="3"/>
              <w:spacing w:beforeAutospacing="0" w:afterAutospacing="0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米</w:t>
            </w:r>
          </w:p>
        </w:tc>
        <w:tc>
          <w:tcPr>
            <w:tcW w:w="2075" w:type="dxa"/>
          </w:tcPr>
          <w:p w14:paraId="72517405">
            <w:pPr>
              <w:pStyle w:val="3"/>
              <w:spacing w:beforeAutospacing="0" w:afterAutospacing="0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2.8-3.2</w:t>
            </w:r>
          </w:p>
        </w:tc>
        <w:tc>
          <w:tcPr>
            <w:tcW w:w="2075" w:type="dxa"/>
          </w:tcPr>
          <w:p w14:paraId="2740BDC9">
            <w:pPr>
              <w:pStyle w:val="3"/>
              <w:spacing w:beforeAutospacing="0" w:afterAutospacing="0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4200</w:t>
            </w:r>
          </w:p>
        </w:tc>
      </w:tr>
      <w:tr w14:paraId="6B41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09" w:type="dxa"/>
          </w:tcPr>
          <w:p w14:paraId="4F4BAA84">
            <w:pPr>
              <w:pStyle w:val="3"/>
              <w:spacing w:beforeAutospacing="0" w:afterAutospacing="0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医用隔帘</w:t>
            </w:r>
          </w:p>
        </w:tc>
        <w:tc>
          <w:tcPr>
            <w:tcW w:w="2341" w:type="dxa"/>
          </w:tcPr>
          <w:p w14:paraId="395D54F2">
            <w:pPr>
              <w:pStyle w:val="3"/>
              <w:spacing w:beforeAutospacing="0" w:afterAutospacing="0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米</w:t>
            </w:r>
          </w:p>
        </w:tc>
        <w:tc>
          <w:tcPr>
            <w:tcW w:w="2075" w:type="dxa"/>
          </w:tcPr>
          <w:p w14:paraId="6AFE4BD5">
            <w:pPr>
              <w:pStyle w:val="3"/>
              <w:spacing w:beforeAutospacing="0" w:afterAutospacing="0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2.4</w:t>
            </w:r>
          </w:p>
        </w:tc>
        <w:tc>
          <w:tcPr>
            <w:tcW w:w="2075" w:type="dxa"/>
          </w:tcPr>
          <w:p w14:paraId="177A000D">
            <w:pPr>
              <w:pStyle w:val="3"/>
              <w:spacing w:beforeAutospacing="0" w:afterAutospacing="0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t>5100</w:t>
            </w:r>
          </w:p>
        </w:tc>
      </w:tr>
      <w:tr w14:paraId="01B9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09" w:type="dxa"/>
          </w:tcPr>
          <w:p w14:paraId="3D8B1631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铝合金轨道</w:t>
            </w:r>
          </w:p>
        </w:tc>
        <w:tc>
          <w:tcPr>
            <w:tcW w:w="2341" w:type="dxa"/>
          </w:tcPr>
          <w:p w14:paraId="32026B57">
            <w:pPr>
              <w:pStyle w:val="3"/>
              <w:spacing w:beforeAutospacing="0" w:afterAutospacing="0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米</w:t>
            </w:r>
          </w:p>
        </w:tc>
        <w:tc>
          <w:tcPr>
            <w:tcW w:w="2075" w:type="dxa"/>
          </w:tcPr>
          <w:p w14:paraId="527B6709">
            <w:pPr>
              <w:pStyle w:val="3"/>
              <w:spacing w:beforeAutospacing="0" w:afterAutospacing="0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/</w:t>
            </w:r>
          </w:p>
        </w:tc>
        <w:tc>
          <w:tcPr>
            <w:tcW w:w="2075" w:type="dxa"/>
          </w:tcPr>
          <w:p w14:paraId="06078842">
            <w:pPr>
              <w:pStyle w:val="3"/>
              <w:spacing w:beforeAutospacing="0" w:afterAutospacing="0"/>
              <w:jc w:val="center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2100</w:t>
            </w:r>
          </w:p>
        </w:tc>
      </w:tr>
    </w:tbl>
    <w:p w14:paraId="180214E2">
      <w:pPr>
        <w:pStyle w:val="2"/>
        <w:ind w:firstLine="0" w:firstLineChars="0"/>
      </w:pPr>
    </w:p>
    <w:p w14:paraId="1994E0AD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一、医用隔帘技术参数</w:t>
      </w:r>
    </w:p>
    <w:p w14:paraId="7AC956D5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隔帘褶皱率系数 1：2。（具体颜色和花型中标后由采购方确认）</w:t>
      </w:r>
    </w:p>
    <w:p w14:paraId="7FA0457C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1.纤维含量：100%聚酯纤维；</w:t>
      </w:r>
    </w:p>
    <w:p w14:paraId="6F88AE28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2.单位面积质量：≥200g/㎡；</w:t>
      </w:r>
    </w:p>
    <w:p w14:paraId="005D4889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3.厚度：≥0.5mm；</w:t>
      </w:r>
    </w:p>
    <w:p w14:paraId="42B8EEB3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4.透气率：≥500mm/s；</w:t>
      </w:r>
    </w:p>
    <w:p w14:paraId="14804BDB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5.遮光率≥50%；</w:t>
      </w:r>
    </w:p>
    <w:p w14:paraId="3C2C7421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6.</w:t>
      </w:r>
      <w:r>
        <w:rPr>
          <w:rFonts w:hint="eastAsia" w:ascii="宋体" w:hAnsi="宋体" w:eastAsia="宋体" w:cs="宋体"/>
          <w:bCs/>
          <w:szCs w:val="21"/>
        </w:rPr>
        <w:t>面料阻燃方式为永久性阻燃，非经阻燃剂浸泡/涂层阻燃方式；</w:t>
      </w:r>
    </w:p>
    <w:p w14:paraId="1BAB6164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7.含标准附件（如窗帘头、布带、挂钩等）；</w:t>
      </w:r>
    </w:p>
    <w:p w14:paraId="76E59F4F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8.甲醛含量：≤20mg/kg；</w:t>
      </w:r>
    </w:p>
    <w:p w14:paraId="0BF6C93F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9.异味：无</w:t>
      </w:r>
    </w:p>
    <w:p w14:paraId="59971A49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10.可分解致癌芳香胺染料：禁用；</w:t>
      </w:r>
    </w:p>
    <w:p w14:paraId="6A0AE2D3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11.致敏性分散染料：禁用；</w:t>
      </w:r>
    </w:p>
    <w:p w14:paraId="43D9D129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12.致癌染料：禁用</w:t>
      </w:r>
    </w:p>
    <w:p w14:paraId="77181136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13.色牢度：</w:t>
      </w:r>
    </w:p>
    <w:p w14:paraId="36EF34B4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（1）耐摩擦色牢度（干摩、湿摩）：≥4级；</w:t>
      </w:r>
    </w:p>
    <w:p w14:paraId="41A3DB9E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（2）耐水色牢度（变色、沾色）：≥4级；</w:t>
      </w:r>
    </w:p>
    <w:p w14:paraId="05B9DB76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（3）耐酸斑色牢度：乙酸溶液≥4级，盐酸溶液≥4级，硫酸溶液≥4级；</w:t>
      </w:r>
    </w:p>
    <w:p w14:paraId="3D6544E0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（4）耐刷洗色牢度：≥4级；</w:t>
      </w:r>
    </w:p>
    <w:p w14:paraId="17FB331F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14.水洗尺寸变化率：-2%-+2%；</w:t>
      </w:r>
    </w:p>
    <w:p w14:paraId="1614112D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15.洗涤后外观平整度(级)：≥3；</w:t>
      </w:r>
    </w:p>
    <w:p w14:paraId="255C69D2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16.断裂强力：经向（长度方向）≥800N，纬向（宽度方向）≥300N；顶破强力≥1200N；胀破强力：≥400Kpa；</w:t>
      </w:r>
    </w:p>
    <w:p w14:paraId="3D8B4B59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17.阻燃标准：符合 GB20286-2006 阻燃1级，经向/纬向氧指数≥32%，损毁长度≤150mm，续燃时间≤5S，阴燃时间≤5S，烟密度≤15SDR，产烟毒性等级不低于ZA2级；</w:t>
      </w:r>
    </w:p>
    <w:p w14:paraId="3735046C">
      <w:r>
        <w:rPr>
          <w:rFonts w:hint="eastAsia" w:ascii="宋体" w:hAnsi="宋体" w:eastAsia="宋体" w:cs="宋体"/>
          <w:bCs/>
          <w:szCs w:val="21"/>
        </w:rPr>
        <w:t>18.抗菌性能：金黄色葡萄球菌、大肠杆菌、白色念珠菌、肺炎克雷伯（白）氏菌抑菌率均≥90%，产品具有抗菌效果。</w:t>
      </w:r>
    </w:p>
    <w:p w14:paraId="3D38D8C3">
      <w:pPr>
        <w:pStyle w:val="2"/>
        <w:ind w:firstLine="0" w:firstLineChars="0"/>
      </w:pPr>
    </w:p>
    <w:p w14:paraId="539ADF13">
      <w:pPr>
        <w:pStyle w:val="2"/>
        <w:ind w:firstLine="0" w:firstLineChars="0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二、医用窗帘技术参数</w:t>
      </w:r>
    </w:p>
    <w:p w14:paraId="1A56D9EA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窗帘褶皱率系数 1：2，（具体颜色和花型中标后由采购方确认）</w:t>
      </w:r>
    </w:p>
    <w:p w14:paraId="391F6F42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1.纤维含量：100%聚酯纤维；</w:t>
      </w:r>
    </w:p>
    <w:p w14:paraId="75962699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2.单位面积质量：≥300g/㎡；</w:t>
      </w:r>
    </w:p>
    <w:p w14:paraId="72BFCB99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3.厚度：≥0.7mm；</w:t>
      </w:r>
    </w:p>
    <w:p w14:paraId="6281744A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4.遮光率≥90%；</w:t>
      </w:r>
    </w:p>
    <w:p w14:paraId="20DC935B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5.</w:t>
      </w:r>
      <w:r>
        <w:rPr>
          <w:rFonts w:hint="eastAsia" w:ascii="宋体" w:hAnsi="宋体" w:eastAsia="宋体" w:cs="宋体"/>
          <w:bCs/>
          <w:szCs w:val="21"/>
        </w:rPr>
        <w:t>面料阻燃方式为永久性阻燃，非经阻燃剂浸泡/涂层阻燃方式；</w:t>
      </w:r>
    </w:p>
    <w:p w14:paraId="1C8D855D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6.含标准附件（如窗帘头、布带、挂钩等）；</w:t>
      </w:r>
    </w:p>
    <w:p w14:paraId="3AD2222B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7.甲醛含量：≤20mg/kg；</w:t>
      </w:r>
    </w:p>
    <w:p w14:paraId="03AD1CEB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8.异味：无</w:t>
      </w:r>
    </w:p>
    <w:p w14:paraId="32FCEFD6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9.可分解致癌芳香胺染料：禁用；</w:t>
      </w:r>
    </w:p>
    <w:p w14:paraId="163DC29E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10.致敏性分散染料：禁用；</w:t>
      </w:r>
    </w:p>
    <w:p w14:paraId="74E6CBC8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11.致癌染料：禁用</w:t>
      </w:r>
    </w:p>
    <w:p w14:paraId="09B09266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12.色牢度：</w:t>
      </w:r>
    </w:p>
    <w:p w14:paraId="455BB2D3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（1）耐摩擦色牢度（干摩、湿摩）：≥4级；</w:t>
      </w:r>
    </w:p>
    <w:p w14:paraId="7259FD93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（2）耐水色牢度（变色、沾色）：≥4级；</w:t>
      </w:r>
    </w:p>
    <w:p w14:paraId="2D7E5ACA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（3）耐酸斑色牢度：乙酸溶液≥4级，盐酸溶液≥4级，硫酸溶液≥4级；</w:t>
      </w:r>
    </w:p>
    <w:p w14:paraId="673C440B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（4）耐刷洗色牢度：≥4级；</w:t>
      </w:r>
    </w:p>
    <w:p w14:paraId="1E781DDF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13.水洗尺寸变化率：-2%-+2%；</w:t>
      </w:r>
    </w:p>
    <w:p w14:paraId="24519E59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14.洗涤后外观平整度(级)：≥3；</w:t>
      </w:r>
    </w:p>
    <w:p w14:paraId="33EDD0A6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15.防紫外线性能：UPF＞40、T（UVA）AV ＜5%、T（UVB）AV ＜5%；</w:t>
      </w:r>
    </w:p>
    <w:p w14:paraId="70E07C52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16.断裂强力：断裂强力：经向（长度方向）≥1500N，纬向（宽度方向）≥800N；撕破强力≥80N；顶破强力≥1500N；胀破强力：≥800Kpa；</w:t>
      </w:r>
    </w:p>
    <w:p w14:paraId="5F7A8A9C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17.阻燃标准：符合 GB20286-2006 阻燃1级，经向/纬向氧指数≥32%，损毁长度≤150mm，续燃时间≤5S，阴燃时间≤5S，烟密度≤15SDR，产烟毒性等级不低于ZA2级；</w:t>
      </w:r>
    </w:p>
    <w:p w14:paraId="4D6398BB">
      <w:pPr>
        <w:pStyle w:val="2"/>
        <w:ind w:firstLine="0" w:firstLineChars="0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18.经纬密度（根/10cm）：经向：≥990、纬向：≥350；</w:t>
      </w:r>
    </w:p>
    <w:p w14:paraId="600EBA17">
      <w:r>
        <w:rPr>
          <w:rFonts w:hint="eastAsia" w:ascii="宋体" w:hAnsi="宋体" w:eastAsia="宋体" w:cs="宋体"/>
          <w:bCs/>
          <w:szCs w:val="21"/>
        </w:rPr>
        <w:t>19.抗菌性能：金黄色葡萄球菌、大肠杆菌、白色念珠菌、肺炎克雷伯（白）氏菌抑菌率均≥90%，产品具有抗菌效果。</w:t>
      </w:r>
    </w:p>
    <w:p w14:paraId="2E7CC270">
      <w:pPr>
        <w:rPr>
          <w:rFonts w:ascii="Calibri" w:hAnsi="Calibri" w:eastAsia="宋体"/>
        </w:rPr>
      </w:pPr>
    </w:p>
    <w:p w14:paraId="1D0F7FEB">
      <w:pPr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三、铝合金</w:t>
      </w:r>
      <w:r>
        <w:rPr>
          <w:rFonts w:hint="eastAsia" w:ascii="宋体" w:hAnsi="宋体" w:eastAsia="宋体" w:cs="宋体"/>
          <w:color w:val="000000"/>
          <w:szCs w:val="21"/>
        </w:rPr>
        <w:t>轨道技术参数</w:t>
      </w:r>
    </w:p>
    <w:p w14:paraId="703EDA8F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1、外观尺寸：宽≥22mm，高≥23mm；</w:t>
      </w:r>
    </w:p>
    <w:p w14:paraId="74845CED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2、壁厚≥1.0mm；</w:t>
      </w:r>
    </w:p>
    <w:p w14:paraId="6FDF42E2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3、内置静音条；</w:t>
      </w:r>
    </w:p>
    <w:p w14:paraId="4A6D7861">
      <w:pPr>
        <w:ind w:right="-78" w:rightChars="-37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4、</w:t>
      </w:r>
      <w:r>
        <w:rPr>
          <w:rFonts w:hint="eastAsia" w:ascii="宋体" w:hAnsi="宋体" w:eastAsia="宋体" w:cs="宋体"/>
          <w:bCs/>
          <w:szCs w:val="21"/>
        </w:rPr>
        <w:t>漆膜厚度（复合膜厚≥16μm），漆膜硬度≥3H；</w:t>
      </w:r>
    </w:p>
    <w:p w14:paraId="4F0137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3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 w:line="480" w:lineRule="exact"/>
      <w:ind w:firstLine="200" w:firstLineChars="200"/>
      <w:jc w:val="left"/>
    </w:pPr>
    <w:rPr>
      <w:rFonts w:ascii="微软雅黑" w:hAnsi="微软雅黑" w:eastAsia="楷体_GB2312" w:cs="Times New Roman"/>
      <w:sz w:val="2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2025-05-08T07:38:03Z</dcterms:created>
  <dc:creator>Administrator</dc:creator>
  <cp:lastModifiedBy>xx</cp:lastModifiedBy>
  <dcterms:modified xsi:type="dcterms:W3CDTF">2025-05-08T07:38:11Z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eyJoZGlkIjoiNmI2ZmI1NTFmNmFiMGQxOGFmZmFlZGUwMGZjMDkxMDYiLCJ1c2VySWQiOiI1Mjc2MDU0NTkifQ==</vt:lpwstr>
  </property>
  <property fmtid="{D5CDD505-2E9C-101B-9397-08002B2CF9AE}" pid="4" name="ICV">
    <vt:lpwstr>24E0B7CDD4634C26A280B6D9750DC819_12</vt:lpwstr>
  </property>
</Properties>
</file>